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3.10.3.1 Verificări metrologice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3.10.3.1 Verificări metrologice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Terți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1.2.1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1.2.1.1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Executare verificări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1.2.1.2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PV de recepție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1.2.1.3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Buletin de verificare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1.2.1.4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Buletin de verificare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1.2.1.5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PV de recepție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1.2.1.6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Factură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1.2.1.7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Efectuare verificări metrologice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1.2.1.8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factură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6068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025e5f85-596a-4470-94c6-c6b3a5b51547"/>
      <w:bookmarkStart w:id="4" w:name="_Toc256000003"/>
      <w:r>
        <w:t>Conpet</w:t>
      </w:r>
      <w:bookmarkEnd w:id="4"/>
    </w:p>
    <w:p>
      <w:bookmarkEnd w:id="3"/>
    </w:p>
    <w:p>
      <w:pPr>
        <w:pStyle w:val="bizHeading2"/>
      </w:pPr>
      <w:bookmarkStart w:id="5" w:name="0a8e673f-1df8-4283-b66a-a299dbe62919"/>
      <w:bookmarkStart w:id="6" w:name="_Toc256000004"/>
      <w:r>
        <w:t>Terți</w:t>
      </w:r>
      <w:bookmarkEnd w:id="6"/>
    </w:p>
    <w:p>
      <w:bookmarkEnd w:id="5"/>
    </w:p>
    <w:p>
      <w:pPr>
        <w:pStyle w:val="bizHeading3"/>
      </w:pPr>
      <w:bookmarkStart w:id="7" w:name="_Toc256000005"/>
      <w:r>
        <w:t>Process Elements</w:t>
      </w:r>
      <w:bookmarkEnd w:id="7"/>
    </w:p>
    <w:p>
      <w:pPr>
        <w:pStyle w:val="bizHeading4"/>
      </w:pPr>
      <w:bookmarkStart w:id="8" w:name="_Toc256000006"/>
      <w:r>
        <w:drawing>
          <wp:inline>
            <wp:extent cx="152421" cy="152421"/>
            <wp:docPr id="18866513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Executare verificări</w:t>
      </w:r>
      <w:bookmarkEnd w:id="8"/>
    </w:p>
    <w:p/>
    <w:p>
      <w:pPr>
        <w:pStyle w:val="bizHeading4"/>
      </w:pPr>
      <w:bookmarkStart w:id="9" w:name="_Toc256000007"/>
      <w:r>
        <w:drawing>
          <wp:inline>
            <wp:extent cx="152421" cy="152421"/>
            <wp:docPr id="1296293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PV de recepție</w:t>
      </w:r>
      <w:bookmarkEnd w:id="9"/>
    </w:p>
    <w:p/>
    <w:p>
      <w:pPr>
        <w:pStyle w:val="bizHeading4"/>
      </w:pPr>
      <w:bookmarkStart w:id="10" w:name="_Toc256000008"/>
      <w:r>
        <w:drawing>
          <wp:inline>
            <wp:extent cx="152421" cy="152421"/>
            <wp:docPr id="14898179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Buletin de verificare</w:t>
      </w:r>
      <w:bookmarkEnd w:id="10"/>
    </w:p>
    <w:p/>
    <w:p>
      <w:pPr>
        <w:pStyle w:val="bizHeading4"/>
      </w:pPr>
      <w:bookmarkStart w:id="11" w:name="_Toc256000009"/>
      <w:r>
        <w:drawing>
          <wp:inline>
            <wp:extent cx="152421" cy="152421"/>
            <wp:docPr id="87184334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Buletin de verificare</w:t>
      </w:r>
      <w:bookmarkEnd w:id="11"/>
    </w:p>
    <w:p/>
    <w:p>
      <w:pPr>
        <w:pStyle w:val="bizHeading4"/>
      </w:pPr>
      <w:bookmarkStart w:id="12" w:name="_Toc256000010"/>
      <w:r>
        <w:drawing>
          <wp:inline>
            <wp:extent cx="152421" cy="152421"/>
            <wp:docPr id="18765895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PV de recepție</w:t>
      </w:r>
      <w:bookmarkEnd w:id="12"/>
    </w:p>
    <w:p/>
    <w:p>
      <w:pPr>
        <w:pStyle w:val="bizHeading4"/>
      </w:pPr>
      <w:bookmarkStart w:id="13" w:name="_Toc256000011"/>
      <w:r>
        <w:drawing>
          <wp:inline>
            <wp:extent cx="152421" cy="152421"/>
            <wp:docPr id="6900214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Factură</w:t>
      </w:r>
      <w:bookmarkEnd w:id="13"/>
    </w:p>
    <w:p/>
    <w:p>
      <w:pPr>
        <w:pStyle w:val="bizHeading4"/>
      </w:pPr>
      <w:bookmarkStart w:id="14" w:name="_Toc256000012"/>
      <w:r>
        <w:drawing>
          <wp:inline>
            <wp:extent cx="152421" cy="152421"/>
            <wp:docPr id="6078576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Efectuare verificări metrologice</w:t>
      </w:r>
      <w:bookmarkEnd w:id="14"/>
    </w:p>
    <w:p/>
    <w:p>
      <w:pPr>
        <w:pStyle w:val="bizHeading4"/>
      </w:pPr>
      <w:bookmarkStart w:id="15" w:name="_Toc256000013"/>
      <w:r>
        <w:drawing>
          <wp:inline>
            <wp:extent cx="152421" cy="152421"/>
            <wp:docPr id="14966659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factură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